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Pr>
        <w:jc w:val="center"/>
      </w:pPr>
      <w:r>
        <w:rPr>
          <w:rFonts w:ascii="Calibri" w:hAnsi="Calibri"/>
          <w:b/>
          <w:color w:val="0F1729"/>
          <w:sz w:val="48"/>
        </w:rPr>
        <w:t>ACCORD DE TRAITEMENT</w:t>
        <w:br/>
        <w:t>DES DONNÉES PERSONNELLES</w:t>
      </w:r>
    </w:p>
    <w:p>
      <w:pPr>
        <w:jc w:val="center"/>
      </w:pPr>
      <w:r>
        <w:rPr>
          <w:rFonts w:ascii="Calibri" w:hAnsi="Calibri"/>
          <w:color w:val="64748B"/>
          <w:sz w:val="28"/>
        </w:rPr>
        <w:t>(Data Processing Agreement — DPA)</w:t>
      </w:r>
    </w:p>
    <w:p/>
    <w:p>
      <w:pPr>
        <w:jc w:val="center"/>
      </w:pPr>
      <w:r>
        <w:rPr>
          <w:rFonts w:ascii="Calibri" w:hAnsi="Calibri"/>
          <w:color w:val="3B82F6"/>
          <w:sz w:val="24"/>
        </w:rPr>
        <w:t>Conclu en application de l'article 28</w:t>
        <w:br/>
        <w:t>du Règlement (UE) 2016/679 (RGPD)</w:t>
      </w:r>
    </w:p>
    <w:p/>
    <w:p>
      <w:pPr>
        <w:jc w:val="center"/>
      </w:pPr>
      <w:r>
        <w:rPr>
          <w:rFonts w:ascii="Calibri" w:hAnsi="Calibri"/>
          <w:i/>
          <w:sz w:val="22"/>
        </w:rPr>
        <w:t>Version 2.1 — 26 août 2026</w:t>
      </w:r>
    </w:p>
    <w:p/>
    <w:p>
      <w:pPr>
        <w:jc w:val="center"/>
      </w:pPr>
      <w:r>
        <w:rPr>
          <w:rFonts w:ascii="Calibri" w:hAnsi="Calibri"/>
          <w:color w:val="64748B"/>
          <w:sz w:val="20"/>
        </w:rPr>
        <w:t>Ce document est un résumé contractuel signable.</w:t>
        <w:br/>
        <w:t>Les mesures de sécurité, la liste des sous-traitants et les annexes techniques à jour sont consultables sur :</w:t>
      </w:r>
    </w:p>
    <w:p>
      <w:pPr>
        <w:jc w:val="center"/>
      </w:pPr>
      <w:hyperlink r:id="rId9">
        <w:r>
          <w:rPr>
            <w:color w:val="3B82F6"/>
            <w:u w:val="single"/>
            <w:rFonts w:ascii="Calibri" w:hAnsi="Calibri"/>
            <w:sz w:val="21"/>
          </w:rPr>
          <w:t>https://ragindeed.com/data-protection</w:t>
        </w:r>
      </w:hyperlink>
    </w:p>
    <w:p>
      <w:r>
        <w:br w:type="page"/>
      </w:r>
    </w:p>
    <w:p>
      <w:pPr>
        <w:pStyle w:val="Heading1"/>
      </w:pPr>
      <w:r>
        <w:rPr>
          <w:rFonts w:ascii="Calibri" w:hAnsi="Calibri"/>
          <w:color w:val="0F1729"/>
        </w:rPr>
        <w:t>ENTRE</w:t>
      </w:r>
    </w:p>
    <w:p>
      <w:r>
        <w:rPr>
          <w:b/>
        </w:rPr>
        <w:t>Le Responsable de traitement</w:t>
      </w:r>
      <w:r>
        <w:t xml:space="preserve"> (ci-après « le Client ») :</w:t>
      </w:r>
    </w:p>
    <w:p>
      <w:r>
        <w:t>Tel qu'identifié dans le Bon de Commande annexé au Contrat de Services.</w:t>
      </w:r>
    </w:p>
    <w:p>
      <w:r>
        <w:t>ET</w:t>
      </w:r>
    </w:p>
    <w:p>
      <w:r>
        <w:rPr>
          <w:b/>
        </w:rPr>
        <w:t>Le Sous-traitant</w:t>
      </w:r>
      <w:r>
        <w:t xml:space="preserve"> (ci-après « Ragindeed ») :</w:t>
      </w:r>
    </w:p>
    <w:p>
      <w:r>
        <w:t>Ragindeed SAS, société par actions simplifiée, RCS Paris 939 022 547, 8 Rue Léon Vaudoyer, 75007 Paris, France.</w:t>
      </w:r>
    </w:p>
    <w:p>
      <w:pPr>
        <w:pStyle w:val="Heading1"/>
      </w:pPr>
      <w:r>
        <w:rPr>
          <w:rFonts w:ascii="Calibri" w:hAnsi="Calibri"/>
          <w:color w:val="0F1729"/>
        </w:rPr>
        <w:t>Article 1 — Objet et contexte</w:t>
      </w:r>
    </w:p>
    <w:p>
      <w:r>
        <w:t>Le présent DPA fait partie intégrante du Contrat Principal et définit les conditions dans lesquelles Ragindeed, en qualité de sous-traitant, traite des Données Personnelles pour le compte du Client.</w:t>
      </w:r>
    </w:p>
    <w:p>
      <w:r>
        <w:t>En cas de contradiction, les dispositions du DPA prévalent pour tout ce qui concerne le traitement des Données Personnelles.</w:t>
      </w:r>
    </w:p>
    <w:p>
      <w:pPr>
        <w:pStyle w:val="Heading1"/>
      </w:pPr>
      <w:r>
        <w:rPr>
          <w:rFonts w:ascii="Calibri" w:hAnsi="Calibri"/>
          <w:color w:val="0F1729"/>
        </w:rPr>
        <w:t>Article 2 — Description des traitements</w:t>
      </w:r>
    </w:p>
    <w:tbl>
      <w:tblPr>
        <w:tblStyle w:val="TableGrid"/>
        <w:tblW w:type="auto" w:w="0"/>
        <w:jc w:val="center"/>
        <w:tblLook w:firstColumn="1" w:firstRow="1" w:lastColumn="0" w:lastRow="0" w:noHBand="0" w:noVBand="1" w:val="04A0"/>
      </w:tblPr>
      <w:tblGrid>
        <w:gridCol w:w="4703"/>
        <w:gridCol w:w="4703"/>
      </w:tblGrid>
      <w:tr>
        <w:tc>
          <w:tcPr>
            <w:tcW w:type="dxa" w:w="2551"/>
          </w:tcPr>
          <w:p>
            <w:r>
              <w:rPr>
                <w:rFonts w:ascii="Calibri" w:hAnsi="Calibri"/>
                <w:b/>
                <w:sz w:val="19"/>
              </w:rPr>
              <w:t>Finalités</w:t>
            </w:r>
          </w:p>
        </w:tc>
        <w:tc>
          <w:tcPr>
            <w:tcW w:type="dxa" w:w="4703"/>
          </w:tcPr>
          <w:p>
            <w:r>
              <w:rPr>
                <w:rFonts w:ascii="Calibri" w:hAnsi="Calibri"/>
                <w:sz w:val="19"/>
              </w:rPr>
              <w:t>Extraction documentaire par IA, hébergement et gestion documentaire, rapports immobiliers, conformité KYC/LCB-FT, assistant IA, support technique</w:t>
            </w:r>
          </w:p>
        </w:tc>
      </w:tr>
      <w:tr>
        <w:tc>
          <w:tcPr>
            <w:tcW w:type="dxa" w:w="2551"/>
          </w:tcPr>
          <w:p>
            <w:r>
              <w:rPr>
                <w:rFonts w:ascii="Calibri" w:hAnsi="Calibri"/>
                <w:b/>
                <w:sz w:val="19"/>
              </w:rPr>
              <w:t>Types de données</w:t>
            </w:r>
          </w:p>
        </w:tc>
        <w:tc>
          <w:tcPr>
            <w:tcW w:type="dxa" w:w="4703"/>
          </w:tcPr>
          <w:p>
            <w:r>
              <w:rPr>
                <w:rFonts w:ascii="Calibri" w:hAnsi="Calibri"/>
                <w:sz w:val="19"/>
              </w:rPr>
              <w:t>Identification, coordonnées, pièces d'identité, données professionnelles, financières, immobilières, de conformité réglementaire</w:t>
            </w:r>
          </w:p>
        </w:tc>
      </w:tr>
      <w:tr>
        <w:tc>
          <w:tcPr>
            <w:tcW w:type="dxa" w:w="2551"/>
          </w:tcPr>
          <w:p>
            <w:r>
              <w:rPr>
                <w:rFonts w:ascii="Calibri" w:hAnsi="Calibri"/>
                <w:b/>
                <w:sz w:val="19"/>
              </w:rPr>
              <w:t>Personnes concernées</w:t>
            </w:r>
          </w:p>
        </w:tc>
        <w:tc>
          <w:tcPr>
            <w:tcW w:type="dxa" w:w="4703"/>
          </w:tcPr>
          <w:p>
            <w:r>
              <w:rPr>
                <w:rFonts w:ascii="Calibri" w:hAnsi="Calibri"/>
                <w:sz w:val="19"/>
              </w:rPr>
              <w:t>Locataires, souscripteurs, bénéficiaires effectifs, propriétaires, représentants légaux, salariés et partenaires du Client</w:t>
            </w:r>
          </w:p>
        </w:tc>
      </w:tr>
      <w:tr>
        <w:tc>
          <w:tcPr>
            <w:tcW w:type="dxa" w:w="2551"/>
          </w:tcPr>
          <w:p>
            <w:r>
              <w:rPr>
                <w:rFonts w:ascii="Calibri" w:hAnsi="Calibri"/>
                <w:b/>
                <w:sz w:val="19"/>
              </w:rPr>
              <w:t>Durée</w:t>
            </w:r>
          </w:p>
        </w:tc>
        <w:tc>
          <w:tcPr>
            <w:tcW w:type="dxa" w:w="4703"/>
          </w:tcPr>
          <w:p>
            <w:r>
              <w:rPr>
                <w:rFonts w:ascii="Calibri" w:hAnsi="Calibri"/>
                <w:sz w:val="19"/>
              </w:rPr>
              <w:t>Durée du Contrat Principal + restitution (30 j) + suppression (60 j)</w:t>
            </w:r>
          </w:p>
        </w:tc>
      </w:tr>
    </w:tbl>
    <w:p/>
    <w:p>
      <w:r>
        <w:rPr>
          <w:rFonts w:ascii="Calibri" w:hAnsi="Calibri"/>
          <w:sz w:val="21"/>
        </w:rPr>
        <w:t xml:space="preserve">Détails complets disponibles sur </w:t>
      </w:r>
      <w:hyperlink r:id="rId10">
        <w:r>
          <w:rPr>
            <w:color w:val="3B82F6"/>
            <w:u w:val="single"/>
            <w:rFonts w:ascii="Calibri" w:hAnsi="Calibri"/>
            <w:sz w:val="21"/>
          </w:rPr>
          <w:t>https://ragindeed.com/data-protection#toc_art2</w:t>
        </w:r>
      </w:hyperlink>
    </w:p>
    <w:p>
      <w:pPr>
        <w:pStyle w:val="Heading1"/>
      </w:pPr>
      <w:r>
        <w:rPr>
          <w:rFonts w:ascii="Calibri" w:hAnsi="Calibri"/>
          <w:color w:val="0F1729"/>
        </w:rPr>
        <w:t>Article 3 — Obligations de Ragindeed</w:t>
      </w:r>
    </w:p>
    <w:p>
      <w:pPr>
        <w:pStyle w:val="ListBullet"/>
      </w:pPr>
      <w:r>
        <w:rPr>
          <w:b/>
        </w:rPr>
        <w:t xml:space="preserve">Traitement sur instruction — </w:t>
      </w:r>
      <w:r>
        <w:t>uniquement sur instruction documentée du Client</w:t>
      </w:r>
    </w:p>
    <w:p>
      <w:pPr>
        <w:pStyle w:val="ListBullet"/>
      </w:pPr>
      <w:r>
        <w:rPr>
          <w:b/>
        </w:rPr>
        <w:t xml:space="preserve">Confidentialité — </w:t>
      </w:r>
      <w:r>
        <w:t>personnel soumis à obligation de confidentialité, accès limité</w:t>
      </w:r>
    </w:p>
    <w:p>
      <w:pPr>
        <w:pStyle w:val="ListBullet"/>
      </w:pPr>
      <w:r>
        <w:rPr>
          <w:b/>
        </w:rPr>
        <w:t xml:space="preserve">Sécurité (art. 32) — </w:t>
      </w:r>
      <w:r>
        <w:t>TLS 1.2+ en transit, AES-256 au repos, tests réguliers</w:t>
      </w:r>
    </w:p>
    <w:p>
      <w:pPr>
        <w:pStyle w:val="ListBullet"/>
      </w:pPr>
      <w:r>
        <w:rPr>
          <w:b/>
        </w:rPr>
        <w:t xml:space="preserve">Assistance aux droits — </w:t>
      </w:r>
      <w:r>
        <w:t>transmission sous 5 jours ouvrés des demandes reçues</w:t>
      </w:r>
    </w:p>
    <w:p>
      <w:pPr>
        <w:pStyle w:val="ListBullet"/>
      </w:pPr>
      <w:r>
        <w:rPr>
          <w:b/>
        </w:rPr>
        <w:t xml:space="preserve">Notification — </w:t>
      </w:r>
      <w:r>
        <w:t>48 heures maximum en cas de violation de données</w:t>
      </w:r>
    </w:p>
    <w:p>
      <w:pPr>
        <w:pStyle w:val="ListBullet"/>
      </w:pPr>
      <w:r>
        <w:rPr>
          <w:b/>
        </w:rPr>
        <w:t xml:space="preserve">Audit — </w:t>
      </w:r>
      <w:r>
        <w:t>mise à disposition des informations nécessaires (art. 28 RGPD)</w:t>
      </w:r>
    </w:p>
    <w:p>
      <w:pPr>
        <w:pStyle w:val="Heading1"/>
      </w:pPr>
      <w:r>
        <w:rPr>
          <w:rFonts w:ascii="Calibri" w:hAnsi="Calibri"/>
          <w:color w:val="0F1729"/>
        </w:rPr>
        <w:t>Article 4 — Obligations du Client</w:t>
      </w:r>
    </w:p>
    <w:p>
      <w:r>
        <w:t>Le Client détermine les finalités et moyens du traitement, fournit des instructions documentées, s'assure de la licéité des traitements, informe les personnes concernées et applique le principe de minimisation.</w:t>
      </w:r>
    </w:p>
    <w:p>
      <w:pPr>
        <w:pStyle w:val="Heading1"/>
      </w:pPr>
      <w:r>
        <w:rPr>
          <w:rFonts w:ascii="Calibri" w:hAnsi="Calibri"/>
          <w:color w:val="0F1729"/>
        </w:rPr>
        <w:t>Article 5 — Sous-traitants ultérieurs</w:t>
      </w:r>
    </w:p>
    <w:p>
      <w:r>
        <w:t>Le Client autorise le recours aux sous-traitants listés sur la page de protection des données du site web de Ragindeed. Ragindeed informe le Client 30 jours avant tout ajout ou remplacement. Le Client peut s'opposer sous 15 jours.</w:t>
      </w:r>
    </w:p>
    <w:p>
      <w:r>
        <w:t>Sous-traitants à la date de signature :</w:t>
      </w:r>
    </w:p>
    <w:tbl>
      <w:tblPr>
        <w:tblStyle w:val="TableGrid"/>
        <w:tblW w:type="auto" w:w="0"/>
        <w:jc w:val="center"/>
        <w:tblLook w:firstColumn="1" w:firstRow="1" w:lastColumn="0" w:lastRow="0" w:noHBand="0" w:noVBand="1" w:val="04A0"/>
      </w:tblPr>
      <w:tblGrid>
        <w:gridCol w:w="4703"/>
        <w:gridCol w:w="4703"/>
      </w:tblGrid>
      <w:tr>
        <w:tc>
          <w:tcPr>
            <w:tcW w:type="dxa" w:w="2551"/>
          </w:tcPr>
          <w:p>
            <w:r>
              <w:rPr>
                <w:rFonts w:ascii="Calibri" w:hAnsi="Calibri"/>
                <w:b/>
                <w:sz w:val="19"/>
              </w:rPr>
              <w:t>Scaleway SAS</w:t>
            </w:r>
          </w:p>
        </w:tc>
        <w:tc>
          <w:tcPr>
            <w:tcW w:type="dxa" w:w="4703"/>
          </w:tcPr>
          <w:p>
            <w:r>
              <w:rPr>
                <w:rFonts w:ascii="Calibri" w:hAnsi="Calibri"/>
                <w:sz w:val="19"/>
              </w:rPr>
              <w:t>Hébergement cloud, Paris/Amsterdam — ISO 27001, HDS — Aucun transfert hors EEE</w:t>
            </w:r>
          </w:p>
        </w:tc>
      </w:tr>
      <w:tr>
        <w:tc>
          <w:tcPr>
            <w:tcW w:type="dxa" w:w="2551"/>
          </w:tcPr>
          <w:p>
            <w:r>
              <w:rPr>
                <w:rFonts w:ascii="Calibri" w:hAnsi="Calibri"/>
                <w:b/>
                <w:sz w:val="19"/>
              </w:rPr>
              <w:t>OpenAI Ireland Limited</w:t>
            </w:r>
          </w:p>
        </w:tc>
        <w:tc>
          <w:tcPr>
            <w:tcW w:type="dxa" w:w="4703"/>
          </w:tcPr>
          <w:p>
            <w:r>
              <w:rPr>
                <w:rFonts w:ascii="Calibri" w:hAnsi="Calibri"/>
                <w:sz w:val="19"/>
              </w:rPr>
              <w:t>Traitement IA via API — ISO 27001:2022, ISO 27017, ISO 27018, ISO 27701, ISO 42001, SOC 2 Type 2, CSA STAR, PCI DSS v4.0.1 — transfert vers OpenAI, L.L.C. (États-Unis) encadré par CCT module 3, Zero Data Retention</w:t>
            </w:r>
          </w:p>
        </w:tc>
      </w:tr>
      <w:tr>
        <w:tc>
          <w:tcPr>
            <w:tcW w:type="dxa" w:w="2551"/>
          </w:tcPr>
          <w:p>
            <w:r>
              <w:rPr>
                <w:rFonts w:ascii="Calibri" w:hAnsi="Calibri"/>
                <w:b/>
                <w:sz w:val="19"/>
              </w:rPr>
              <w:t>Runpod, Inc.</w:t>
            </w:r>
          </w:p>
        </w:tc>
        <w:tc>
          <w:tcPr>
            <w:tcW w:type="dxa" w:w="4703"/>
          </w:tcPr>
          <w:p>
            <w:r>
              <w:rPr>
                <w:rFonts w:ascii="Calibri" w:hAnsi="Calibri"/>
                <w:sz w:val="19"/>
              </w:rPr>
              <w:t>Reconnaissance de texte sur les documents, analyse visuelle des pages, calcul des vecteurs d'indexation — SOC 2 Type 2, SOC 3, HIPAA — exécution éphémère, transferts encadrés par CCT</w:t>
            </w:r>
          </w:p>
        </w:tc>
      </w:tr>
      <w:tr>
        <w:tc>
          <w:tcPr>
            <w:tcW w:type="dxa" w:w="2551"/>
          </w:tcPr>
          <w:p>
            <w:r>
              <w:rPr>
                <w:rFonts w:ascii="Calibri" w:hAnsi="Calibri"/>
                <w:b/>
                <w:sz w:val="19"/>
              </w:rPr>
              <w:t>Google Cloud EMEA Limited</w:t>
            </w:r>
          </w:p>
        </w:tc>
        <w:tc>
          <w:tcPr>
            <w:tcW w:type="dxa" w:w="4703"/>
          </w:tcPr>
          <w:p>
            <w:r>
              <w:rPr>
                <w:rFonts w:ascii="Calibri" w:hAnsi="Calibri"/>
                <w:sz w:val="19"/>
              </w:rPr>
              <w:t>Traitement IA (Vertex AI), configuré mais non activé à ce jour — ISO 27001, ISO 27017, ISO 27018, ISO 27701, ISO 42001, SOC 1/2/3, C5 — traitement en région europe-west9 (Paris), aucun transfert hors EEE</w:t>
            </w:r>
          </w:p>
        </w:tc>
      </w:tr>
      <w:tr>
        <w:tc>
          <w:tcPr>
            <w:tcW w:type="dxa" w:w="2551"/>
          </w:tcPr>
          <w:p>
            <w:r>
              <w:rPr>
                <w:rFonts w:ascii="Calibri" w:hAnsi="Calibri"/>
                <w:b/>
                <w:sz w:val="19"/>
              </w:rPr>
              <w:t>Mistral AI SAS</w:t>
            </w:r>
          </w:p>
        </w:tc>
        <w:tc>
          <w:tcPr>
            <w:tcW w:type="dxa" w:w="4703"/>
          </w:tcPr>
          <w:p>
            <w:r>
              <w:rPr>
                <w:rFonts w:ascii="Calibri" w:hAnsi="Calibri"/>
                <w:sz w:val="19"/>
              </w:rPr>
              <w:t>Traitement IA, configuré mais non activé à ce jour — ISO 27001, ISO 27701, SOC 2 Type II — traitement en Union européenne, transferts ponctuels hors UE selon la fonctionnalité, encadrés par CCT</w:t>
            </w:r>
          </w:p>
        </w:tc>
      </w:tr>
      <w:tr>
        <w:tc>
          <w:tcPr>
            <w:tcW w:type="dxa" w:w="2551"/>
          </w:tcPr>
          <w:p>
            <w:r>
              <w:rPr>
                <w:rFonts w:ascii="Calibri" w:hAnsi="Calibri"/>
                <w:b/>
                <w:sz w:val="19"/>
              </w:rPr>
              <w:t>Better Stack, Inc.</w:t>
            </w:r>
          </w:p>
        </w:tc>
        <w:tc>
          <w:tcPr>
            <w:tcW w:type="dxa" w:w="4703"/>
          </w:tcPr>
          <w:p>
            <w:r>
              <w:rPr>
                <w:rFonts w:ascii="Calibri" w:hAnsi="Calibri"/>
                <w:sz w:val="19"/>
              </w:rPr>
              <w:t>Monitoring — Données techniques uniquement — CCT</w:t>
            </w:r>
          </w:p>
        </w:tc>
      </w:tr>
    </w:tbl>
    <w:p/>
    <w:p>
      <w:r>
        <w:rPr>
          <w:sz w:val="21"/>
        </w:rPr>
        <w:t xml:space="preserve">Liste à jour et certifications : </w:t>
      </w:r>
      <w:hyperlink r:id="rId11">
        <w:r>
          <w:rPr>
            <w:color w:val="3B82F6"/>
            <w:u w:val="single"/>
            <w:rFonts w:ascii="Calibri" w:hAnsi="Calibri"/>
            <w:sz w:val="21"/>
          </w:rPr>
          <w:t>ragindeed.com/data-protection#annexe-b</w:t>
        </w:r>
      </w:hyperlink>
    </w:p>
    <w:p>
      <w:pPr>
        <w:pStyle w:val="Heading1"/>
      </w:pPr>
      <w:r>
        <w:rPr>
          <w:rFonts w:ascii="Calibri" w:hAnsi="Calibri"/>
          <w:color w:val="0F1729"/>
        </w:rPr>
        <w:t>Article 6 — Transferts hors EEE</w:t>
      </w:r>
    </w:p>
    <w:p>
      <w:r>
        <w:t>Les données sont hébergées dans l'EEE. Les transferts vers les États-Unis (OpenAI, Runpod) sont encadrés par les Clauses Contractuelles Types de la Commission européenne (décision 2021/914, module 3) et par les engagements de non-rétention (Zero Data Retention). Ces prestataires ne figurent pas parmi les organisations certifiées au titre du Data Privacy Framework UE-US : le transfert ne repose donc pas sur une décision d'adéquation. L'évaluation d'impact correspondante est publiée en annexe C.</w:t>
      </w:r>
    </w:p>
    <w:p>
      <w:r>
        <w:rPr>
          <w:rFonts w:ascii="Calibri" w:hAnsi="Calibri"/>
          <w:sz w:val="21"/>
        </w:rPr>
        <w:t xml:space="preserve">Détails complets disponibles sur </w:t>
      </w:r>
      <w:hyperlink r:id="rId12">
        <w:r>
          <w:rPr>
            <w:color w:val="3B82F6"/>
            <w:u w:val="single"/>
            <w:rFonts w:ascii="Calibri" w:hAnsi="Calibri"/>
            <w:sz w:val="21"/>
          </w:rPr>
          <w:t>https://ragindeed.com/data-protection#toc_annexe_c</w:t>
        </w:r>
      </w:hyperlink>
    </w:p>
    <w:p>
      <w:pPr>
        <w:pStyle w:val="Heading1"/>
      </w:pPr>
      <w:r>
        <w:rPr>
          <w:rFonts w:ascii="Calibri" w:hAnsi="Calibri"/>
          <w:color w:val="0F1729"/>
        </w:rPr>
        <w:t>Article 7 — Audit</w:t>
      </w:r>
    </w:p>
    <w:p>
      <w:r>
        <w:t>Le Client peut réaliser des audits avec un préavis de 30 jours ouvrés. Un audit sur site par an maximum. Ragindeed met à disposition sur demande les rapports d'audit, certifications et résultats de tests de pénétration.</w:t>
      </w:r>
    </w:p>
    <w:p>
      <w:pPr>
        <w:pStyle w:val="Heading1"/>
      </w:pPr>
      <w:r>
        <w:rPr>
          <w:rFonts w:ascii="Calibri" w:hAnsi="Calibri"/>
          <w:color w:val="0F1729"/>
        </w:rPr>
        <w:t>Article 8 — Notification des violations</w:t>
      </w:r>
    </w:p>
    <w:p>
      <w:r>
        <w:t>Ragindeed informe le Client dans un délai maximum de 48 heures. La notification inclut la nature de la violation, les conséquences probables et les mesures correctives. Ragindeed documente tout incident.</w:t>
      </w:r>
    </w:p>
    <w:p>
      <w:pPr>
        <w:pStyle w:val="Heading1"/>
      </w:pPr>
      <w:r>
        <w:rPr>
          <w:rFonts w:ascii="Calibri" w:hAnsi="Calibri"/>
          <w:color w:val="0F1729"/>
        </w:rPr>
        <w:t>Article 9 — Sort des données en fin de contrat</w:t>
      </w:r>
    </w:p>
    <w:tbl>
      <w:tblPr>
        <w:tblStyle w:val="TableGrid"/>
        <w:tblW w:type="auto" w:w="0"/>
        <w:jc w:val="center"/>
        <w:tblLook w:firstColumn="1" w:firstRow="1" w:lastColumn="0" w:lastRow="0" w:noHBand="0" w:noVBand="1" w:val="04A0"/>
      </w:tblPr>
      <w:tblGrid>
        <w:gridCol w:w="4703"/>
        <w:gridCol w:w="4703"/>
      </w:tblGrid>
      <w:tr>
        <w:tc>
          <w:tcPr>
            <w:tcW w:type="dxa" w:w="2551"/>
          </w:tcPr>
          <w:p>
            <w:r>
              <w:rPr>
                <w:rFonts w:ascii="Calibri" w:hAnsi="Calibri"/>
                <w:b/>
                <w:sz w:val="19"/>
              </w:rPr>
              <w:t>Restitution</w:t>
            </w:r>
          </w:p>
        </w:tc>
        <w:tc>
          <w:tcPr>
            <w:tcW w:type="dxa" w:w="4703"/>
          </w:tcPr>
          <w:p>
            <w:r>
              <w:rPr>
                <w:rFonts w:ascii="Calibri" w:hAnsi="Calibri"/>
                <w:sz w:val="19"/>
              </w:rPr>
              <w:t>Export dans un délai de 30 jours (CSV, JSON, PDF, Excel)</w:t>
            </w:r>
          </w:p>
        </w:tc>
      </w:tr>
      <w:tr>
        <w:tc>
          <w:tcPr>
            <w:tcW w:type="dxa" w:w="2551"/>
          </w:tcPr>
          <w:p>
            <w:r>
              <w:rPr>
                <w:rFonts w:ascii="Calibri" w:hAnsi="Calibri"/>
                <w:b/>
                <w:sz w:val="19"/>
              </w:rPr>
              <w:t>Suppression</w:t>
            </w:r>
          </w:p>
        </w:tc>
        <w:tc>
          <w:tcPr>
            <w:tcW w:type="dxa" w:w="4703"/>
          </w:tcPr>
          <w:p>
            <w:r>
              <w:rPr>
                <w:rFonts w:ascii="Calibri" w:hAnsi="Calibri"/>
                <w:sz w:val="19"/>
              </w:rPr>
              <w:t>Suppression irréversible sous 60 jours après la période de restitution</w:t>
            </w:r>
          </w:p>
        </w:tc>
      </w:tr>
      <w:tr>
        <w:tc>
          <w:tcPr>
            <w:tcW w:type="dxa" w:w="2551"/>
          </w:tcPr>
          <w:p>
            <w:r>
              <w:rPr>
                <w:rFonts w:ascii="Calibri" w:hAnsi="Calibri"/>
                <w:b/>
                <w:sz w:val="19"/>
              </w:rPr>
              <w:t>Certificat</w:t>
            </w:r>
          </w:p>
        </w:tc>
        <w:tc>
          <w:tcPr>
            <w:tcW w:type="dxa" w:w="4703"/>
          </w:tcPr>
          <w:p>
            <w:r>
              <w:rPr>
                <w:rFonts w:ascii="Calibri" w:hAnsi="Calibri"/>
                <w:sz w:val="19"/>
              </w:rPr>
              <w:t>Certificat de suppression définitive fourni sur demande</w:t>
            </w:r>
          </w:p>
        </w:tc>
      </w:tr>
    </w:tbl>
    <w:p/>
    <w:p>
      <w:pPr>
        <w:pStyle w:val="Heading1"/>
      </w:pPr>
      <w:r>
        <w:rPr>
          <w:rFonts w:ascii="Calibri" w:hAnsi="Calibri"/>
          <w:color w:val="0F1729"/>
        </w:rPr>
        <w:t>Article 10 — Dispositions générales</w:t>
      </w:r>
    </w:p>
    <w:p>
      <w:pPr>
        <w:pStyle w:val="ListBullet"/>
      </w:pPr>
      <w:r>
        <w:rPr>
          <w:b/>
        </w:rPr>
        <w:t xml:space="preserve">Durée — </w:t>
      </w:r>
      <w:r>
        <w:t>aussi longtemps que Ragindeed traite des Données Personnelles</w:t>
      </w:r>
    </w:p>
    <w:p>
      <w:pPr>
        <w:pStyle w:val="ListBullet"/>
      </w:pPr>
      <w:r>
        <w:rPr>
          <w:b/>
        </w:rPr>
        <w:t xml:space="preserve">Registre — </w:t>
      </w:r>
      <w:r>
        <w:t>tenu conformément à l'article 30.2 du RGPD</w:t>
      </w:r>
    </w:p>
    <w:p>
      <w:pPr>
        <w:pStyle w:val="ListBullet"/>
      </w:pPr>
      <w:r>
        <w:rPr>
          <w:b/>
        </w:rPr>
        <w:t xml:space="preserve">Droit applicable — </w:t>
      </w:r>
      <w:r>
        <w:t>droit français — Tribunal de commerce de Paris</w:t>
      </w:r>
    </w:p>
    <w:p>
      <w:pPr>
        <w:pStyle w:val="ListBullet"/>
      </w:pPr>
      <w:r>
        <w:rPr>
          <w:b/>
        </w:rPr>
        <w:t xml:space="preserve">Annexes en ligne — </w:t>
      </w:r>
      <w:r>
        <w:t>les mesures de sécurité (Annexe A), la liste des sous-traitants (Annexe B) et l'évaluation d'impact des transferts (Annexe C) sont publiées et maintenues à jour sur ragindeed.com/data-protection</w:t>
      </w:r>
    </w:p>
    <w:p/>
    <w:p>
      <w:r>
        <w:rPr>
          <w:i/>
        </w:rPr>
        <w:t>En signant le présent DPA, le Client reconnaît avoir pris connaissance des annexes publiées sur le site web de Ragindeed et les accepte dans leur version en vigueur à la date de signature.</w:t>
      </w:r>
    </w:p>
    <w:p>
      <w:r>
        <w:br w:type="page"/>
      </w:r>
    </w:p>
    <w:p>
      <w:pPr>
        <w:pStyle w:val="Heading1"/>
      </w:pPr>
      <w:r>
        <w:rPr>
          <w:rFonts w:ascii="Calibri" w:hAnsi="Calibri"/>
          <w:color w:val="0F1729"/>
        </w:rPr>
        <w:t>Résumé des mesures de sécurité</w:t>
      </w:r>
    </w:p>
    <w:p>
      <w:r>
        <w:t>Le détail complet des mesures techniques et organisationnelles est disponible en ligne (Annexe A). Voici un résumé :</w:t>
      </w:r>
    </w:p>
    <w:tbl>
      <w:tblPr>
        <w:tblStyle w:val="TableGrid"/>
        <w:tblW w:type="auto" w:w="0"/>
        <w:jc w:val="center"/>
        <w:tblLook w:firstColumn="1" w:firstRow="1" w:lastColumn="0" w:lastRow="0" w:noHBand="0" w:noVBand="1" w:val="04A0"/>
      </w:tblPr>
      <w:tblGrid>
        <w:gridCol w:w="4703"/>
        <w:gridCol w:w="4703"/>
      </w:tblGrid>
      <w:tr>
        <w:tc>
          <w:tcPr>
            <w:tcW w:type="dxa" w:w="4703"/>
          </w:tcPr>
          <w:p>
            <w:r>
              <w:rPr>
                <w:rFonts w:ascii="Calibri" w:hAnsi="Calibri"/>
                <w:b/>
                <w:sz w:val="19"/>
              </w:rPr>
              <w:t>Hébergement</w:t>
            </w:r>
          </w:p>
        </w:tc>
        <w:tc>
          <w:tcPr>
            <w:tcW w:type="dxa" w:w="4703"/>
          </w:tcPr>
          <w:p>
            <w:r>
              <w:rPr>
                <w:rFonts w:ascii="Calibri" w:hAnsi="Calibri"/>
                <w:sz w:val="19"/>
              </w:rPr>
              <w:t>Scaleway, Paris — ISO 27001, HDS, SecNumCloud en cours</w:t>
            </w:r>
          </w:p>
        </w:tc>
      </w:tr>
      <w:tr>
        <w:tc>
          <w:tcPr>
            <w:tcW w:type="dxa" w:w="4703"/>
          </w:tcPr>
          <w:p>
            <w:r>
              <w:rPr>
                <w:rFonts w:ascii="Calibri" w:hAnsi="Calibri"/>
                <w:b/>
                <w:sz w:val="19"/>
              </w:rPr>
              <w:t>Chiffrement transit</w:t>
            </w:r>
          </w:p>
        </w:tc>
        <w:tc>
          <w:tcPr>
            <w:tcW w:type="dxa" w:w="4703"/>
          </w:tcPr>
          <w:p>
            <w:r>
              <w:rPr>
                <w:rFonts w:ascii="Calibri" w:hAnsi="Calibri"/>
                <w:sz w:val="19"/>
              </w:rPr>
              <w:t>TLS 1.2 minimum</w:t>
            </w:r>
          </w:p>
        </w:tc>
      </w:tr>
      <w:tr>
        <w:tc>
          <w:tcPr>
            <w:tcW w:type="dxa" w:w="4703"/>
          </w:tcPr>
          <w:p>
            <w:r>
              <w:rPr>
                <w:rFonts w:ascii="Calibri" w:hAnsi="Calibri"/>
                <w:b/>
                <w:sz w:val="19"/>
              </w:rPr>
              <w:t>Chiffrement repos</w:t>
            </w:r>
          </w:p>
        </w:tc>
        <w:tc>
          <w:tcPr>
            <w:tcW w:type="dxa" w:w="4703"/>
          </w:tcPr>
          <w:p>
            <w:r>
              <w:rPr>
                <w:rFonts w:ascii="Calibri" w:hAnsi="Calibri"/>
                <w:sz w:val="19"/>
              </w:rPr>
              <w:t>AES-256</w:t>
            </w:r>
          </w:p>
        </w:tc>
      </w:tr>
      <w:tr>
        <w:tc>
          <w:tcPr>
            <w:tcW w:type="dxa" w:w="4703"/>
          </w:tcPr>
          <w:p>
            <w:r>
              <w:rPr>
                <w:rFonts w:ascii="Calibri" w:hAnsi="Calibri"/>
                <w:b/>
                <w:sz w:val="19"/>
              </w:rPr>
              <w:t>Isolation</w:t>
            </w:r>
          </w:p>
        </w:tc>
        <w:tc>
          <w:tcPr>
            <w:tcW w:type="dxa" w:w="4703"/>
          </w:tcPr>
          <w:p>
            <w:r>
              <w:rPr>
                <w:rFonts w:ascii="Calibri" w:hAnsi="Calibri"/>
                <w:sz w:val="19"/>
              </w:rPr>
              <w:t>Isolation logique par contrôle d'accès (RBAC) ; base PostgreSQL distincte pour les Services fournis en instance dédiée</w:t>
            </w:r>
          </w:p>
        </w:tc>
      </w:tr>
      <w:tr>
        <w:tc>
          <w:tcPr>
            <w:tcW w:type="dxa" w:w="4703"/>
          </w:tcPr>
          <w:p>
            <w:r>
              <w:rPr>
                <w:rFonts w:ascii="Calibri" w:hAnsi="Calibri"/>
                <w:b/>
                <w:sz w:val="19"/>
              </w:rPr>
              <w:t>Sauvegardes</w:t>
            </w:r>
          </w:p>
        </w:tc>
        <w:tc>
          <w:tcPr>
            <w:tcW w:type="dxa" w:w="4703"/>
          </w:tcPr>
          <w:p>
            <w:r>
              <w:rPr>
                <w:rFonts w:ascii="Calibri" w:hAnsi="Calibri"/>
                <w:sz w:val="19"/>
              </w:rPr>
              <w:t>Quotidiennes, chiffrées, répliquées en UE</w:t>
            </w:r>
          </w:p>
        </w:tc>
      </w:tr>
      <w:tr>
        <w:tc>
          <w:tcPr>
            <w:tcW w:type="dxa" w:w="4703"/>
          </w:tcPr>
          <w:p>
            <w:r>
              <w:rPr>
                <w:rFonts w:ascii="Calibri" w:hAnsi="Calibri"/>
                <w:b/>
                <w:sz w:val="19"/>
              </w:rPr>
              <w:t>Journalisation</w:t>
            </w:r>
          </w:p>
        </w:tc>
        <w:tc>
          <w:tcPr>
            <w:tcW w:type="dxa" w:w="4703"/>
          </w:tcPr>
          <w:p>
            <w:r>
              <w:rPr>
                <w:rFonts w:ascii="Calibri" w:hAnsi="Calibri"/>
                <w:sz w:val="19"/>
              </w:rPr>
              <w:t>Audit trail horodaté, conservé durée du contrat</w:t>
            </w:r>
          </w:p>
        </w:tc>
      </w:tr>
      <w:tr>
        <w:tc>
          <w:tcPr>
            <w:tcW w:type="dxa" w:w="4703"/>
          </w:tcPr>
          <w:p>
            <w:r>
              <w:rPr>
                <w:rFonts w:ascii="Calibri" w:hAnsi="Calibri"/>
                <w:b/>
                <w:sz w:val="19"/>
              </w:rPr>
              <w:t>Monitoring</w:t>
            </w:r>
          </w:p>
        </w:tc>
        <w:tc>
          <w:tcPr>
            <w:tcW w:type="dxa" w:w="4703"/>
          </w:tcPr>
          <w:p>
            <w:r>
              <w:rPr>
                <w:rFonts w:ascii="Calibri" w:hAnsi="Calibri"/>
                <w:sz w:val="19"/>
              </w:rPr>
              <w:t>Surveillance continue + monitoring externe</w:t>
            </w:r>
          </w:p>
        </w:tc>
      </w:tr>
      <w:tr>
        <w:tc>
          <w:tcPr>
            <w:tcW w:type="dxa" w:w="4703"/>
          </w:tcPr>
          <w:p>
            <w:r>
              <w:rPr>
                <w:rFonts w:ascii="Calibri" w:hAnsi="Calibri"/>
                <w:b/>
                <w:sz w:val="19"/>
              </w:rPr>
              <w:t>Non-entraînement IA</w:t>
            </w:r>
          </w:p>
        </w:tc>
        <w:tc>
          <w:tcPr>
            <w:tcW w:type="dxa" w:w="4703"/>
          </w:tcPr>
          <w:p>
            <w:r>
              <w:rPr>
                <w:rFonts w:ascii="Calibri" w:hAnsi="Calibri"/>
                <w:sz w:val="19"/>
              </w:rPr>
              <w:t>Zero Data Retention sur les API</w:t>
            </w:r>
          </w:p>
        </w:tc>
      </w:tr>
    </w:tbl>
    <w:p/>
    <w:p>
      <w:r>
        <w:rPr>
          <w:rFonts w:ascii="Calibri" w:hAnsi="Calibri"/>
          <w:sz w:val="21"/>
        </w:rPr>
        <w:t xml:space="preserve">Détails complets disponibles sur </w:t>
      </w:r>
      <w:hyperlink r:id="rId13">
        <w:r>
          <w:rPr>
            <w:color w:val="3B82F6"/>
            <w:u w:val="single"/>
            <w:rFonts w:ascii="Calibri" w:hAnsi="Calibri"/>
            <w:sz w:val="21"/>
          </w:rPr>
          <w:t>https://ragindeed.com/data-protection#toc_annexe_a</w:t>
        </w:r>
      </w:hyperlink>
    </w:p>
    <w:p>
      <w:r>
        <w:br w:type="page"/>
      </w:r>
    </w:p>
    <w:p>
      <w:pPr>
        <w:pStyle w:val="Heading1"/>
      </w:pPr>
      <w:r>
        <w:rPr>
          <w:rFonts w:ascii="Calibri" w:hAnsi="Calibri"/>
          <w:color w:val="0F1729"/>
        </w:rPr>
        <w:t>SIGNATURES</w:t>
      </w:r>
    </w:p>
    <w:p>
      <w:r>
        <w:t xml:space="preserve">En signant le présent document, les Parties acceptent l'intégralité des dispositions du DPA, y compris les annexes publiées sur </w:t>
      </w:r>
      <w:hyperlink r:id="rId9">
        <w:r>
          <w:rPr>
            <w:color w:val="3B82F6"/>
            <w:u w:val="single"/>
            <w:rFonts w:ascii="Calibri" w:hAnsi="Calibri"/>
            <w:sz w:val="21"/>
          </w:rPr>
          <w:t>ragindeed.com/data-protection</w:t>
        </w:r>
      </w:hyperlink>
      <w:r>
        <w:t>.</w:t>
      </w:r>
    </w:p>
    <w:p/>
    <w:p/>
    <w:p>
      <w:r>
        <w:rPr>
          <w:b/>
        </w:rPr>
        <w:t>Pour le Client (Responsable de traitement) :</w:t>
      </w:r>
    </w:p>
    <w:p/>
    <w:p>
      <w:r>
        <w:t>Nom : ____________________________</w:t>
      </w:r>
    </w:p>
    <w:p>
      <w:r>
        <w:t>Fonction : ____________________________</w:t>
      </w:r>
    </w:p>
    <w:p>
      <w:r>
        <w:t>Date : ____________________________</w:t>
      </w:r>
    </w:p>
    <w:p>
      <w:r>
        <w:t>Signature : ____________________________</w:t>
      </w:r>
    </w:p>
    <w:p/>
    <w:p/>
    <w:p>
      <w:r>
        <w:rPr>
          <w:b/>
        </w:rPr>
        <w:t>Pour Ragindeed SAS (Sous-traitant) :</w:t>
      </w:r>
    </w:p>
    <w:p/>
    <w:p>
      <w:r>
        <w:t>Nom : ____________________________</w:t>
      </w:r>
    </w:p>
    <w:p>
      <w:r>
        <w:t>Fonction : ____________________________</w:t>
      </w:r>
    </w:p>
    <w:p>
      <w:r>
        <w:t>Date : ____________________________</w:t>
      </w:r>
    </w:p>
    <w:p>
      <w:r>
        <w:t>Signature : ____________________________</w:t>
      </w:r>
    </w:p>
    <w:p/>
    <w:p/>
    <w:p>
      <w:pPr>
        <w:jc w:val="center"/>
      </w:pPr>
      <w:r>
        <w:rPr>
          <w:rFonts w:ascii="Calibri" w:hAnsi="Calibri"/>
          <w:color w:val="64748B"/>
          <w:sz w:val="16"/>
        </w:rPr>
        <w:t>Ragindeed SAS · RCS Paris 939 022 547 · 8 Rue Léon Vaudoyer, 75007 Paris</w:t>
        <w:br/>
        <w:t>dpo@ragindeed.com · ragindeed.com/data-protection</w:t>
      </w:r>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0F1729"/>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ragindeed.com/data-protection" TargetMode="External"/><Relationship Id="rId10" Type="http://schemas.openxmlformats.org/officeDocument/2006/relationships/hyperlink" Target="https://ragindeed.com/data-protection#toc_art2" TargetMode="External"/><Relationship Id="rId11" Type="http://schemas.openxmlformats.org/officeDocument/2006/relationships/hyperlink" Target="https://ragindeed.com/data-protection#toc_annexe_b" TargetMode="External"/><Relationship Id="rId12" Type="http://schemas.openxmlformats.org/officeDocument/2006/relationships/hyperlink" Target="https://ragindeed.com/data-protection#toc_annexe_c" TargetMode="External"/><Relationship Id="rId13" Type="http://schemas.openxmlformats.org/officeDocument/2006/relationships/hyperlink" Target="https://ragindeed.com/data-protection#toc_annexe_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